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DDA" w:rsidRPr="00CC32D8" w:rsidRDefault="00FC6DDA" w:rsidP="00FC6DDA">
      <w:pPr>
        <w:ind w:firstLine="709"/>
        <w:jc w:val="center"/>
        <w:rPr>
          <w:rFonts w:eastAsia="Calibri"/>
        </w:rPr>
      </w:pPr>
      <w:r w:rsidRPr="00CC32D8">
        <w:rPr>
          <w:rFonts w:eastAsia="Calibri"/>
          <w:noProof/>
          <w:lang w:eastAsia="ru-RU"/>
        </w:rPr>
        <w:drawing>
          <wp:inline distT="0" distB="0" distL="0" distR="0" wp14:anchorId="22247383" wp14:editId="6B7028F3">
            <wp:extent cx="1360805" cy="1685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DDA" w:rsidRPr="00CC32D8" w:rsidRDefault="00FC6DDA" w:rsidP="00FC6DDA">
      <w:pPr>
        <w:pBdr>
          <w:bottom w:val="single" w:sz="12" w:space="1" w:color="auto"/>
        </w:pBdr>
        <w:autoSpaceDE w:val="0"/>
        <w:autoSpaceDN w:val="0"/>
        <w:adjustRightInd w:val="0"/>
        <w:ind w:firstLine="709"/>
        <w:jc w:val="center"/>
        <w:rPr>
          <w:rFonts w:ascii="Cambria" w:eastAsia="Calibri" w:hAnsi="Cambria" w:cs="Cambria"/>
          <w:color w:val="4F81BD"/>
          <w:sz w:val="52"/>
          <w:szCs w:val="52"/>
        </w:rPr>
      </w:pPr>
      <w:r w:rsidRPr="00CC32D8">
        <w:rPr>
          <w:rFonts w:ascii="Cambria" w:eastAsia="Calibri" w:hAnsi="Cambria" w:cs="Cambria"/>
          <w:color w:val="365F92"/>
          <w:sz w:val="52"/>
          <w:szCs w:val="52"/>
        </w:rPr>
        <w:t>Унив</w:t>
      </w:r>
      <w:r w:rsidRPr="00CC32D8">
        <w:rPr>
          <w:rFonts w:ascii="Cambria" w:eastAsia="Calibri" w:hAnsi="Cambria" w:cs="Cambria"/>
          <w:color w:val="4F81BD"/>
          <w:sz w:val="52"/>
          <w:szCs w:val="52"/>
        </w:rPr>
        <w:t>ерситет Дмитрия Пожарского</w:t>
      </w:r>
    </w:p>
    <w:p w:rsidR="00FC6DDA" w:rsidRPr="00B020D4" w:rsidRDefault="00FC6DDA" w:rsidP="00FC6DD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FC6DDA" w:rsidRPr="00B020D4" w:rsidRDefault="00FC6DDA" w:rsidP="00FC6DD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B020D4">
        <w:rPr>
          <w:b/>
          <w:bCs/>
          <w:sz w:val="28"/>
          <w:szCs w:val="28"/>
        </w:rPr>
        <w:t xml:space="preserve">Программа дисциплины </w:t>
      </w:r>
    </w:p>
    <w:p w:rsidR="00FC6DDA" w:rsidRDefault="00FC6DDA" w:rsidP="00FC6DD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  <w:r w:rsidRPr="00B020D4">
        <w:rPr>
          <w:b/>
          <w:bCs/>
          <w:sz w:val="32"/>
          <w:szCs w:val="32"/>
        </w:rPr>
        <w:t>«</w:t>
      </w:r>
      <w:r>
        <w:rPr>
          <w:b/>
          <w:bCs/>
          <w:i/>
          <w:iCs/>
          <w:sz w:val="32"/>
          <w:szCs w:val="32"/>
        </w:rPr>
        <w:t>Геометрическая теория групп</w:t>
      </w:r>
      <w:r w:rsidRPr="00B020D4">
        <w:rPr>
          <w:b/>
          <w:bCs/>
          <w:i/>
          <w:iCs/>
          <w:sz w:val="32"/>
          <w:szCs w:val="32"/>
        </w:rPr>
        <w:t>»</w:t>
      </w:r>
    </w:p>
    <w:p w:rsid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b/>
          <w:color w:val="1A1A1A"/>
          <w:sz w:val="24"/>
          <w:szCs w:val="24"/>
        </w:rPr>
        <w:t>1. КРАТКАЯ АННОТАЦИЯ КУРСА: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Школьная программа в настоящее время сильно смещает акцент в сторону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формально-алгебраических конструкций и аналитических навыков. В то же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время, не менее важным (ровно столь же важным!) является понимание сути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математики - то есть её геометрического воплощения. В основе геометрии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как науки лежит парадигма ("</w:t>
      </w:r>
      <w:proofErr w:type="spellStart"/>
      <w:r w:rsidRPr="00FC6DDA">
        <w:rPr>
          <w:rFonts w:ascii="Times New Roman" w:hAnsi="Times New Roman" w:cs="Times New Roman"/>
          <w:color w:val="1A1A1A"/>
          <w:sz w:val="24"/>
          <w:szCs w:val="24"/>
        </w:rPr>
        <w:t>Эрлангенская</w:t>
      </w:r>
      <w:proofErr w:type="spellEnd"/>
      <w:r w:rsidRPr="00FC6DDA">
        <w:rPr>
          <w:rFonts w:ascii="Times New Roman" w:hAnsi="Times New Roman" w:cs="Times New Roman"/>
          <w:color w:val="1A1A1A"/>
          <w:sz w:val="24"/>
          <w:szCs w:val="24"/>
        </w:rPr>
        <w:t xml:space="preserve"> программа") Клейна, согласно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которой абстрактное понятие группы реализуется как конкретное понятие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множества симметрий некоторой геометрической фигуры, а всякая фигура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почти однозначно характеризуется своей группой симметрий. Таким образом,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наука геометрия - это изучение свойств фигур, инвариантных относительно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действия некоторой группы преобразований.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Приведём несколько примеров. Школьная геометрия занимается изучением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свойств фигур, инвариантных относительно группы движений: фигуры тогда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равны (по определению!), когда совмещаются движением, и именно свойства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фигур, сохраняющихся для равных фигур (углы, площади и длины) составляют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основной костяк школьной геометрии. Также в школе изучается отношение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подобия, то есть исследование свойств фигур, инвариантных относительно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группы подобий (гомотетий и их композиций с движениями). На первом курсе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Независимого Московского Университета изучаются также геометрические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свойства фигур на проективной плоскости, сфере и на плоскости Лобачевского.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Топология изучает свойства фигур, не меняющиеся при растяжениях любого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типа - то есть, при гомеоморфизмах (и даже более общих преобразований).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По сути дела, данный курс - это весьма конкретное введение в топологию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на основе нескольких аккуратно разобранных сюжетов.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b/>
          <w:color w:val="1A1A1A"/>
          <w:sz w:val="24"/>
          <w:szCs w:val="24"/>
        </w:rPr>
        <w:t>2. ПРЕРЕКВИЗИТЫ (наиболее важные приёмы и технические результаты,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b/>
          <w:color w:val="1A1A1A"/>
          <w:sz w:val="24"/>
          <w:szCs w:val="24"/>
        </w:rPr>
        <w:t>которыми слушатели должны владеть на момент начала его освоения):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По сути дела, требуется хорошее владение школьной программой, а также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уверенное владение навыками линейной алгебры (преобразования, базисы,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анализ действия заданного оператора и нормальные формы, выпуклость и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lastRenderedPageBreak/>
        <w:t>другие понятия линейной геометрии). Также предполагается хорошее знание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 xml:space="preserve">базовых </w:t>
      </w:r>
      <w:proofErr w:type="spellStart"/>
      <w:r w:rsidRPr="00FC6DDA">
        <w:rPr>
          <w:rFonts w:ascii="Times New Roman" w:hAnsi="Times New Roman" w:cs="Times New Roman"/>
          <w:color w:val="1A1A1A"/>
          <w:sz w:val="24"/>
          <w:szCs w:val="24"/>
        </w:rPr>
        <w:t>конктрукций</w:t>
      </w:r>
      <w:proofErr w:type="spellEnd"/>
      <w:r w:rsidRPr="00FC6DDA">
        <w:rPr>
          <w:rFonts w:ascii="Times New Roman" w:hAnsi="Times New Roman" w:cs="Times New Roman"/>
          <w:color w:val="1A1A1A"/>
          <w:sz w:val="24"/>
          <w:szCs w:val="24"/>
        </w:rPr>
        <w:t xml:space="preserve"> и научного языка, связанного с непрерывностью (начала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математического анализа): компактность, связность и основные теоремы про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поведение непрерывных функций на компактах.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b/>
          <w:color w:val="1A1A1A"/>
          <w:sz w:val="24"/>
          <w:szCs w:val="24"/>
        </w:rPr>
        <w:t>3. СООТНЕСЕНИЕ С ПРОГРАММАМИ ДРУГИХ ДИСЦИПЛИН: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Начальные навыки абстрактной алгебры, полученные при изучении курса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дискретной математики и комбинаторики, помогут при анализе конкретных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групп, появляющихся в разбираемых сюжетах. Приёмы и методы, изученные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на занятиях по прикладной математике, также окажут помощь при явных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вычислениях, связанных с расслоением Хопфа и маломерными группами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вращений (а также при формульном задании кватернионов и октав).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Кроме того, содержание курса перекликается буквально со всеми курсами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физической линейки. Курс, помимо общекультурной составляющей, видится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как ступень на пути к освоению дифференциальной геометрии и динамических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систем, которые, в свою очередь, обогатят понимание продвинутой физики.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b/>
          <w:color w:val="1A1A1A"/>
          <w:sz w:val="24"/>
          <w:szCs w:val="24"/>
        </w:rPr>
        <w:t>4. ПОДРОБНОЕ ОПИСАНИЕ КУРСА (предварительный календарный план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b/>
          <w:color w:val="1A1A1A"/>
          <w:sz w:val="24"/>
          <w:szCs w:val="24"/>
        </w:rPr>
        <w:t>занятий, примерные темы лекционных и семинарских пар, а также задач):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НЕДЕЛЯ 1: ЛИКБЕЗЫ "ШКОЛЬНОЙ" ПРОГРАММЫ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Лекция 1. Классификация движений прямой и окружности. Глоссарий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Лекция 2. Теорема Шаля на плоскости. Арифметика движений. Подгруппы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Лекция 3. Комплексная геометрия и комплексное умножение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 xml:space="preserve">Лекция 4. </w:t>
      </w:r>
      <w:proofErr w:type="spellStart"/>
      <w:r w:rsidRPr="00FC6DDA">
        <w:rPr>
          <w:rFonts w:ascii="Times New Roman" w:hAnsi="Times New Roman" w:cs="Times New Roman"/>
          <w:color w:val="1A1A1A"/>
          <w:sz w:val="24"/>
          <w:szCs w:val="24"/>
        </w:rPr>
        <w:t>Мозайки</w:t>
      </w:r>
      <w:proofErr w:type="spellEnd"/>
      <w:r w:rsidRPr="00FC6DDA">
        <w:rPr>
          <w:rFonts w:ascii="Times New Roman" w:hAnsi="Times New Roman" w:cs="Times New Roman"/>
          <w:color w:val="1A1A1A"/>
          <w:sz w:val="24"/>
          <w:szCs w:val="24"/>
        </w:rPr>
        <w:t>, укладки, узлы, зацепления. Язык начальной топологии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ЗАДАЧИ НА ПЕРВУЮ НЕДЕЛЮ: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1. Чему равняется композиция двух поворотов относительно различных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точек на плоскости? Опишите все варианты. Решите эту задачу на сфере.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2. Составьте таблицы композиции движений прямой, окружности, плоскости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и сферы. Докажите теорему Эйлера о том, что любое собственное движение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сферы является поворотом относительно некоторой оси.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3. Выведите все формулы школьной тригонометрии из свойств умножения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 xml:space="preserve">комплексных чисел. Задайте умножение </w:t>
      </w:r>
      <w:proofErr w:type="spellStart"/>
      <w:r w:rsidRPr="00FC6DDA">
        <w:rPr>
          <w:rFonts w:ascii="Times New Roman" w:hAnsi="Times New Roman" w:cs="Times New Roman"/>
          <w:color w:val="1A1A1A"/>
          <w:sz w:val="24"/>
          <w:szCs w:val="24"/>
        </w:rPr>
        <w:t>компексных</w:t>
      </w:r>
      <w:proofErr w:type="spellEnd"/>
      <w:r w:rsidRPr="00FC6DDA">
        <w:rPr>
          <w:rFonts w:ascii="Times New Roman" w:hAnsi="Times New Roman" w:cs="Times New Roman"/>
          <w:color w:val="1A1A1A"/>
          <w:sz w:val="24"/>
          <w:szCs w:val="24"/>
        </w:rPr>
        <w:t xml:space="preserve"> чисел на языке матриц.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4. У произвольного треугольника каждая сторона достроена до треугольника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равностороннего (для простоты, смотрящего "наружу" исходного треугольника).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Докажите, что центры построенных треугольников образуют равносторонний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треугольник (подсказка: чему может быть равна композиция трёх поворотов?).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5. Рассмотрим операции замыкания, а также взятия внутренности любого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множества на прямой или на плоскости. Какое максимальное количество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различных множеств можно получить из данного множества $A$, повторяя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lastRenderedPageBreak/>
        <w:t>в любом порядке эти процедуры? Докажите, что больше нельзя.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6. "Намотаем" полуинтервал на окружность. Является ли это отображение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непрерывным? Взаимно-однозначным? Гомеоморфизмом?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НЕДЕЛЯ 2: КОНЦЕПЦИЯ ИНВАРИАНТА: ПРИМЕРЫ И ОБОБЩЕНИЯ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Лекция 5. Об игре в 15 и других школьных задачах на нахождение инварианта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Лекция 6. Индекс числа оборотов векторного поля. Основная теорема алгебры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Лекция 7. Теорема Брауэра: несколько доказательств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 xml:space="preserve">Лекция 8. </w:t>
      </w:r>
      <w:proofErr w:type="spellStart"/>
      <w:r w:rsidRPr="00FC6DDA">
        <w:rPr>
          <w:rFonts w:ascii="Times New Roman" w:hAnsi="Times New Roman" w:cs="Times New Roman"/>
          <w:color w:val="1A1A1A"/>
          <w:sz w:val="24"/>
          <w:szCs w:val="24"/>
        </w:rPr>
        <w:t>Эйлерова</w:t>
      </w:r>
      <w:proofErr w:type="spellEnd"/>
      <w:r w:rsidRPr="00FC6DDA">
        <w:rPr>
          <w:rFonts w:ascii="Times New Roman" w:hAnsi="Times New Roman" w:cs="Times New Roman"/>
          <w:color w:val="1A1A1A"/>
          <w:sz w:val="24"/>
          <w:szCs w:val="24"/>
        </w:rPr>
        <w:t xml:space="preserve"> характеристика. Замощения плоскости и сферы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ЗАДАЧИ НА ВТОРУЮ НЕДЕЛЮ: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1. Нарисуйте на сфере векторное поле, имеющее единственную особую точку.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Отдельно нарисуйте топологическую картину поля вокруг этой особой точки.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(Подсказка: сфера - это "почти" плоскость, а на плоскости есть поле без нулей.)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2. Пускай замкнутые множества (на прямой, например) - это счётные и только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они (а также вся прямая). Докажите, что таким образом вводится некоторая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топология на прямой. Что означает сходимость последовательности в ней?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3. Верна ли теорема Брауэра на кресте (то есть на множестве, представляющем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собой объединение двух пересекающихся по внутренним точкам отрезков)?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4. Опишите, каким образом можно замостить плоскость копиями любого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треугольника, а также любого (даже и невыпуклого!) четырёхугольника. Также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 xml:space="preserve">приведите пример пятиугольника, копиями которого плоскость не </w:t>
      </w:r>
      <w:proofErr w:type="spellStart"/>
      <w:r w:rsidRPr="00FC6DDA">
        <w:rPr>
          <w:rFonts w:ascii="Times New Roman" w:hAnsi="Times New Roman" w:cs="Times New Roman"/>
          <w:color w:val="1A1A1A"/>
          <w:sz w:val="24"/>
          <w:szCs w:val="24"/>
        </w:rPr>
        <w:t>замощается</w:t>
      </w:r>
      <w:proofErr w:type="spellEnd"/>
      <w:r w:rsidRPr="00FC6DDA"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5. На основе предельного перехода и формулы Эйлера докажите, что плитки,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 xml:space="preserve">являющиеся выпуклыми многоугольниками с числом углов, </w:t>
      </w:r>
      <w:proofErr w:type="spellStart"/>
      <w:r w:rsidRPr="00FC6DDA">
        <w:rPr>
          <w:rFonts w:ascii="Times New Roman" w:hAnsi="Times New Roman" w:cs="Times New Roman"/>
          <w:color w:val="1A1A1A"/>
          <w:sz w:val="24"/>
          <w:szCs w:val="24"/>
        </w:rPr>
        <w:t>бОльшим</w:t>
      </w:r>
      <w:proofErr w:type="spellEnd"/>
      <w:r w:rsidRPr="00FC6DDA">
        <w:rPr>
          <w:rFonts w:ascii="Times New Roman" w:hAnsi="Times New Roman" w:cs="Times New Roman"/>
          <w:color w:val="1A1A1A"/>
          <w:sz w:val="24"/>
          <w:szCs w:val="24"/>
        </w:rPr>
        <w:t xml:space="preserve"> шести,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не могут годиться для замощения пола (плоскости).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6. Нарисуйте какой-нибудь многогранник на торе, бублике, сфере с данным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 xml:space="preserve">количеством ручек, и посчитайте </w:t>
      </w:r>
      <w:proofErr w:type="spellStart"/>
      <w:r w:rsidRPr="00FC6DDA">
        <w:rPr>
          <w:rFonts w:ascii="Times New Roman" w:hAnsi="Times New Roman" w:cs="Times New Roman"/>
          <w:color w:val="1A1A1A"/>
          <w:sz w:val="24"/>
          <w:szCs w:val="24"/>
        </w:rPr>
        <w:t>Эйлерову</w:t>
      </w:r>
      <w:proofErr w:type="spellEnd"/>
      <w:r w:rsidRPr="00FC6DDA">
        <w:rPr>
          <w:rFonts w:ascii="Times New Roman" w:hAnsi="Times New Roman" w:cs="Times New Roman"/>
          <w:color w:val="1A1A1A"/>
          <w:sz w:val="24"/>
          <w:szCs w:val="24"/>
        </w:rPr>
        <w:t xml:space="preserve"> характеристику поверхности.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НЕДЕЛЯ 3: РАССЛОЕНИЕ ХОПФА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Если добавить к трёхмерному пространству одну точку на бесконечности, то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получится трёхмерная сфера $S^3$. Памятуя об этом, выберем вертикальную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прямую и окружность, её опоясывающую. Станем постепенно ``наращивать''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вокруг нашей окружности всё более толстые торы, которые постепенно будут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заполнять всё трёхмерное пространство, за исключением выбранной прямой.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В конечном итоге торы будут всё более походить на опоясывающие именно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прямую, а не окружность, а с учётом бесконечной точки, они будут опоясывать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просто ещё одну окружность.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Далее, каждый тор является объединением семейства окружностей, каждая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из которых зацеплена с каждой, а также с исходной (и финальной). Теперь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lastRenderedPageBreak/>
        <w:t>сопоставим каждой точке сферы ту окружность, на которой она лежит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(бесконечной точке~--- вертикальную прямую, которая тоже окружность).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Получим знаменитое {\</w:t>
      </w:r>
      <w:proofErr w:type="spellStart"/>
      <w:r w:rsidRPr="00FC6DDA">
        <w:rPr>
          <w:rFonts w:ascii="Times New Roman" w:hAnsi="Times New Roman" w:cs="Times New Roman"/>
          <w:color w:val="1A1A1A"/>
          <w:sz w:val="24"/>
          <w:szCs w:val="24"/>
        </w:rPr>
        <w:t>em</w:t>
      </w:r>
      <w:proofErr w:type="spellEnd"/>
      <w:r w:rsidRPr="00FC6DDA">
        <w:rPr>
          <w:rFonts w:ascii="Times New Roman" w:hAnsi="Times New Roman" w:cs="Times New Roman"/>
          <w:color w:val="1A1A1A"/>
          <w:sz w:val="24"/>
          <w:szCs w:val="24"/>
        </w:rPr>
        <w:t xml:space="preserve"> расслоение Хопфа}.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Лекция 9. Гомотопические группы сфер (обзор достижений науки)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Лекция 10. Комплексная проективная плоскость: построение. Действие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 xml:space="preserve">группы поворотов на трёхмерной сфере, орбиты и </w:t>
      </w:r>
      <w:proofErr w:type="spellStart"/>
      <w:r w:rsidRPr="00FC6DDA">
        <w:rPr>
          <w:rFonts w:ascii="Times New Roman" w:hAnsi="Times New Roman" w:cs="Times New Roman"/>
          <w:color w:val="1A1A1A"/>
          <w:sz w:val="24"/>
          <w:szCs w:val="24"/>
        </w:rPr>
        <w:t>факторпространство</w:t>
      </w:r>
      <w:proofErr w:type="spellEnd"/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Лекция 11. Описание расслоения Хопфа одной формулой. Геометрия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расслоения Хопфа: индекс зацепления любой пары окружностей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 xml:space="preserve">Лекция 12. </w:t>
      </w:r>
      <w:proofErr w:type="spellStart"/>
      <w:r w:rsidRPr="00FC6DDA">
        <w:rPr>
          <w:rFonts w:ascii="Times New Roman" w:hAnsi="Times New Roman" w:cs="Times New Roman"/>
          <w:color w:val="1A1A1A"/>
          <w:sz w:val="24"/>
          <w:szCs w:val="24"/>
        </w:rPr>
        <w:t>Негомотопность</w:t>
      </w:r>
      <w:proofErr w:type="spellEnd"/>
      <w:r w:rsidRPr="00FC6DDA">
        <w:rPr>
          <w:rFonts w:ascii="Times New Roman" w:hAnsi="Times New Roman" w:cs="Times New Roman"/>
          <w:color w:val="1A1A1A"/>
          <w:sz w:val="24"/>
          <w:szCs w:val="24"/>
        </w:rPr>
        <w:t xml:space="preserve"> расслоения Хопфа тривиальному отображению: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техника точных гомотопических последовательностей (ознакомительно)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ЗАДАЧИ НА ТРЕТЬЮ НЕДЕЛЮ: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 xml:space="preserve">1. Пользуясь теоремой Брауэра, выведите </w:t>
      </w:r>
      <w:proofErr w:type="spellStart"/>
      <w:r w:rsidRPr="00FC6DDA">
        <w:rPr>
          <w:rFonts w:ascii="Times New Roman" w:hAnsi="Times New Roman" w:cs="Times New Roman"/>
          <w:color w:val="1A1A1A"/>
          <w:sz w:val="24"/>
          <w:szCs w:val="24"/>
        </w:rPr>
        <w:t>негомотопность</w:t>
      </w:r>
      <w:proofErr w:type="spellEnd"/>
      <w:r w:rsidRPr="00FC6DDA">
        <w:rPr>
          <w:rFonts w:ascii="Times New Roman" w:hAnsi="Times New Roman" w:cs="Times New Roman"/>
          <w:color w:val="1A1A1A"/>
          <w:sz w:val="24"/>
          <w:szCs w:val="24"/>
        </w:rPr>
        <w:t xml:space="preserve"> тождественного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отображения многомерной сферы в себя тривиальному отображению в точку.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2. Докажите, что все окружности на плоскости пересекаются в фиксированных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двух точках комплексной проективной плоскости. Что это за точки такие?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 xml:space="preserve">3. </w:t>
      </w:r>
      <w:proofErr w:type="spellStart"/>
      <w:r w:rsidRPr="00FC6DDA">
        <w:rPr>
          <w:rFonts w:ascii="Times New Roman" w:hAnsi="Times New Roman" w:cs="Times New Roman"/>
          <w:color w:val="1A1A1A"/>
          <w:sz w:val="24"/>
          <w:szCs w:val="24"/>
        </w:rPr>
        <w:t>Найите</w:t>
      </w:r>
      <w:proofErr w:type="spellEnd"/>
      <w:r w:rsidRPr="00FC6DDA">
        <w:rPr>
          <w:rFonts w:ascii="Times New Roman" w:hAnsi="Times New Roman" w:cs="Times New Roman"/>
          <w:color w:val="1A1A1A"/>
          <w:sz w:val="24"/>
          <w:szCs w:val="24"/>
        </w:rPr>
        <w:t xml:space="preserve"> фундаментальную группу тора. Каким её элементам соответствуют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окружности, на которые торы расслаиваются в конструкции Хопфа?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4. Проведите полную классификацию двумерных поверхностей - включающую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 xml:space="preserve">в том числе любые </w:t>
      </w:r>
      <w:proofErr w:type="spellStart"/>
      <w:r w:rsidRPr="00FC6DDA">
        <w:rPr>
          <w:rFonts w:ascii="Times New Roman" w:hAnsi="Times New Roman" w:cs="Times New Roman"/>
          <w:color w:val="1A1A1A"/>
          <w:sz w:val="24"/>
          <w:szCs w:val="24"/>
        </w:rPr>
        <w:t>неориентируемые</w:t>
      </w:r>
      <w:proofErr w:type="spellEnd"/>
      <w:r w:rsidRPr="00FC6DDA">
        <w:rPr>
          <w:rFonts w:ascii="Times New Roman" w:hAnsi="Times New Roman" w:cs="Times New Roman"/>
          <w:color w:val="1A1A1A"/>
          <w:sz w:val="24"/>
          <w:szCs w:val="24"/>
        </w:rPr>
        <w:t xml:space="preserve"> поверхности. Нарисуйте многогранник на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 xml:space="preserve">бутылке Клейна, и найдите </w:t>
      </w:r>
      <w:proofErr w:type="spellStart"/>
      <w:r w:rsidRPr="00FC6DDA">
        <w:rPr>
          <w:rFonts w:ascii="Times New Roman" w:hAnsi="Times New Roman" w:cs="Times New Roman"/>
          <w:color w:val="1A1A1A"/>
          <w:sz w:val="24"/>
          <w:szCs w:val="24"/>
        </w:rPr>
        <w:t>Эйлерову</w:t>
      </w:r>
      <w:proofErr w:type="spellEnd"/>
      <w:r w:rsidRPr="00FC6DDA">
        <w:rPr>
          <w:rFonts w:ascii="Times New Roman" w:hAnsi="Times New Roman" w:cs="Times New Roman"/>
          <w:color w:val="1A1A1A"/>
          <w:sz w:val="24"/>
          <w:szCs w:val="24"/>
        </w:rPr>
        <w:t xml:space="preserve"> характеристику последней.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5. Найдите фундаментальную группу пространства, из которого вырезан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узел "трилистник"; обычная окружность; две зацепленные окружности.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6. Почему расслоение Хопфа нетривиально (то есть не является прямым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произведением окружности и сферы)? Подсказка: гомотопические группы.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НЕДЕЛЯ 4: СООТНОШЕНИЯ МЕЖДУ ГРУППАМИ ВРАЩЕНИЙ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Лекция 13. Комплексные числа как средство описания вращений плоскости.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Задача Гамильтона о вращениях пространства. Догадка о кватернионах.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Лекция 14. Анализ вращений пространства как пар кватернионов: формулы.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Отождествление группы единичных кватернионов с $</w:t>
      </w:r>
      <w:proofErr w:type="gramStart"/>
      <w:r w:rsidRPr="00FC6DDA">
        <w:rPr>
          <w:rFonts w:ascii="Times New Roman" w:hAnsi="Times New Roman" w:cs="Times New Roman"/>
          <w:color w:val="1A1A1A"/>
          <w:sz w:val="24"/>
          <w:szCs w:val="24"/>
        </w:rPr>
        <w:t>SU(</w:t>
      </w:r>
      <w:proofErr w:type="gramEnd"/>
      <w:r w:rsidRPr="00FC6DDA">
        <w:rPr>
          <w:rFonts w:ascii="Times New Roman" w:hAnsi="Times New Roman" w:cs="Times New Roman"/>
          <w:color w:val="1A1A1A"/>
          <w:sz w:val="24"/>
          <w:szCs w:val="24"/>
        </w:rPr>
        <w:t>2)$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Лекция 15. Знаменитое отображение $</w:t>
      </w:r>
      <w:proofErr w:type="gramStart"/>
      <w:r w:rsidRPr="00FC6DDA">
        <w:rPr>
          <w:rFonts w:ascii="Times New Roman" w:hAnsi="Times New Roman" w:cs="Times New Roman"/>
          <w:color w:val="1A1A1A"/>
          <w:sz w:val="24"/>
          <w:szCs w:val="24"/>
        </w:rPr>
        <w:t>SU(</w:t>
      </w:r>
      <w:proofErr w:type="gramEnd"/>
      <w:r w:rsidRPr="00FC6DDA">
        <w:rPr>
          <w:rFonts w:ascii="Times New Roman" w:hAnsi="Times New Roman" w:cs="Times New Roman"/>
          <w:color w:val="1A1A1A"/>
          <w:sz w:val="24"/>
          <w:szCs w:val="24"/>
        </w:rPr>
        <w:t>2) \</w:t>
      </w:r>
      <w:proofErr w:type="spellStart"/>
      <w:r w:rsidRPr="00FC6DDA">
        <w:rPr>
          <w:rFonts w:ascii="Times New Roman" w:hAnsi="Times New Roman" w:cs="Times New Roman"/>
          <w:color w:val="1A1A1A"/>
          <w:sz w:val="24"/>
          <w:szCs w:val="24"/>
        </w:rPr>
        <w:t>to</w:t>
      </w:r>
      <w:proofErr w:type="spellEnd"/>
      <w:r w:rsidRPr="00FC6DDA">
        <w:rPr>
          <w:rFonts w:ascii="Times New Roman" w:hAnsi="Times New Roman" w:cs="Times New Roman"/>
          <w:color w:val="1A1A1A"/>
          <w:sz w:val="24"/>
          <w:szCs w:val="24"/>
        </w:rPr>
        <w:t xml:space="preserve"> SO(3)$ на языке кватернионов как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комплексных матриц 2х2 специального вида. Геометрия построенного отображения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Лекция 16. Ещё о кватернионах: теорема Фробениуса о расширениях поля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вещественных чисел. Октавы Кэли. Векторные поля на сферах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ЗАДАЧИ НА ЧЕТВЁРТУЮ НЕДЕЛЮ: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lastRenderedPageBreak/>
        <w:t>1. Опишите все двумерные подпространства четырёхмерного вещественного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пространства линейных преобразований плоскости, которые образуют поле.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2. Получите явные формулы произведения двух кватернионов, реализованных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посредством комплексных матриц второго порядка: поворота относительно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одной из базисных осей, и поворота относительно другой из осей.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3. Опишите все конечные группы порядка $8$, и докажите их попарную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proofErr w:type="spellStart"/>
      <w:r w:rsidRPr="00FC6DDA">
        <w:rPr>
          <w:rFonts w:ascii="Times New Roman" w:hAnsi="Times New Roman" w:cs="Times New Roman"/>
          <w:color w:val="1A1A1A"/>
          <w:sz w:val="24"/>
          <w:szCs w:val="24"/>
        </w:rPr>
        <w:t>неизоморфность</w:t>
      </w:r>
      <w:proofErr w:type="spellEnd"/>
      <w:r w:rsidRPr="00FC6DDA">
        <w:rPr>
          <w:rFonts w:ascii="Times New Roman" w:hAnsi="Times New Roman" w:cs="Times New Roman"/>
          <w:color w:val="1A1A1A"/>
          <w:sz w:val="24"/>
          <w:szCs w:val="24"/>
        </w:rPr>
        <w:t xml:space="preserve"> друг другу. Сколько среди них некоммутативных?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4. Опишите все конечные подгруппы в группе вращений трёхмерного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пространства, а также в группе всех движений сферы, не обязательно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сохраняющих ориентацию.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5. Постройте максимально возможное количество линейно независимых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в каждой точке непрерывных векторных полей на первых нескольких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сферах (начиная от окружности и кончая сферой пятимерной).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6. Докажите, что ассоциативность умножения чисел Кэли верна для тех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случаев, когда в произведении трёх разных числе участвуют только два.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b/>
          <w:color w:val="1A1A1A"/>
          <w:sz w:val="24"/>
          <w:szCs w:val="24"/>
        </w:rPr>
        <w:t>5. ОТЧЁТНОСТЬ ПО КУРСУ: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Слушатели курса сдают письменный экзамен, решая четыре предложенные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им задачи (по одной на каждую неделю курса). Кроме того, каждый четверг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выдаётся домашнее задание, которое слушатели сдают в понедельник (при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этом последнее домашнее задание сдаётся в день экзамена). Финальная же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оценка является взвешенным средним, в котором каждое домашнее задание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даёт вклад 5 процентов, а экзамен - оставшиеся 80 процентов.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b/>
          <w:color w:val="1A1A1A"/>
          <w:sz w:val="24"/>
          <w:szCs w:val="24"/>
        </w:rPr>
        <w:t>6. ЛИТЕРАТУРА ПО КУРСУ "ГЕОМЕТРИЧЕСКАЯ ТЕОРИЯ ГРУПП":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1. Шафаревич, Никулин "Геометрия и группы"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2. Берже "Геометрия", в двух томах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3. Прасолов "Геометрия Лобачевского"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4. Прасолов "Наглядная топология"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 xml:space="preserve">5. </w:t>
      </w:r>
      <w:proofErr w:type="spellStart"/>
      <w:r w:rsidRPr="00FC6DDA">
        <w:rPr>
          <w:rFonts w:ascii="Times New Roman" w:hAnsi="Times New Roman" w:cs="Times New Roman"/>
          <w:color w:val="1A1A1A"/>
          <w:sz w:val="24"/>
          <w:szCs w:val="24"/>
        </w:rPr>
        <w:t>Артин</w:t>
      </w:r>
      <w:proofErr w:type="spellEnd"/>
      <w:r w:rsidRPr="00FC6DDA">
        <w:rPr>
          <w:rFonts w:ascii="Times New Roman" w:hAnsi="Times New Roman" w:cs="Times New Roman"/>
          <w:color w:val="1A1A1A"/>
          <w:sz w:val="24"/>
          <w:szCs w:val="24"/>
        </w:rPr>
        <w:t xml:space="preserve"> "Геометрическая алгебра"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 xml:space="preserve">6. </w:t>
      </w:r>
      <w:proofErr w:type="spellStart"/>
      <w:r w:rsidRPr="00FC6DDA">
        <w:rPr>
          <w:rFonts w:ascii="Times New Roman" w:hAnsi="Times New Roman" w:cs="Times New Roman"/>
          <w:color w:val="1A1A1A"/>
          <w:sz w:val="24"/>
          <w:szCs w:val="24"/>
        </w:rPr>
        <w:t>Дьедонне</w:t>
      </w:r>
      <w:proofErr w:type="spellEnd"/>
      <w:r w:rsidRPr="00FC6DDA">
        <w:rPr>
          <w:rFonts w:ascii="Times New Roman" w:hAnsi="Times New Roman" w:cs="Times New Roman"/>
          <w:color w:val="1A1A1A"/>
          <w:sz w:val="24"/>
          <w:szCs w:val="24"/>
        </w:rPr>
        <w:t xml:space="preserve"> "Линейная </w:t>
      </w:r>
      <w:proofErr w:type="spellStart"/>
      <w:r w:rsidRPr="00FC6DDA">
        <w:rPr>
          <w:rFonts w:ascii="Times New Roman" w:hAnsi="Times New Roman" w:cs="Times New Roman"/>
          <w:color w:val="1A1A1A"/>
          <w:sz w:val="24"/>
          <w:szCs w:val="24"/>
        </w:rPr>
        <w:t>алгебря</w:t>
      </w:r>
      <w:proofErr w:type="spellEnd"/>
      <w:r w:rsidRPr="00FC6DDA">
        <w:rPr>
          <w:rFonts w:ascii="Times New Roman" w:hAnsi="Times New Roman" w:cs="Times New Roman"/>
          <w:color w:val="1A1A1A"/>
          <w:sz w:val="24"/>
          <w:szCs w:val="24"/>
        </w:rPr>
        <w:t xml:space="preserve"> и элементарная геометрия"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7. Данилов "Неподвижные точки"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8. Костикин "Введение в алгебру"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 xml:space="preserve">9. </w:t>
      </w:r>
      <w:proofErr w:type="spellStart"/>
      <w:r w:rsidRPr="00FC6DDA">
        <w:rPr>
          <w:rFonts w:ascii="Times New Roman" w:hAnsi="Times New Roman" w:cs="Times New Roman"/>
          <w:color w:val="1A1A1A"/>
          <w:sz w:val="24"/>
          <w:szCs w:val="24"/>
        </w:rPr>
        <w:t>Кострикин</w:t>
      </w:r>
      <w:proofErr w:type="spellEnd"/>
      <w:r w:rsidRPr="00FC6DDA">
        <w:rPr>
          <w:rFonts w:ascii="Times New Roman" w:hAnsi="Times New Roman" w:cs="Times New Roman"/>
          <w:color w:val="1A1A1A"/>
          <w:sz w:val="24"/>
          <w:szCs w:val="24"/>
        </w:rPr>
        <w:t>, Манин "Линейная алгебра и геометрия"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4"/>
          <w:szCs w:val="24"/>
        </w:rPr>
      </w:pPr>
      <w:bookmarkStart w:id="0" w:name="_GoBack"/>
      <w:r w:rsidRPr="00FC6DDA">
        <w:rPr>
          <w:rFonts w:ascii="Times New Roman" w:hAnsi="Times New Roman" w:cs="Times New Roman"/>
          <w:b/>
          <w:color w:val="1A1A1A"/>
          <w:sz w:val="24"/>
          <w:szCs w:val="24"/>
        </w:rPr>
        <w:t>НЕКОТОРЫЕ КОММЕНТАРИИ ПО ОСВОЕНИЮ ЛИТЕРАТУРЫ: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4"/>
          <w:szCs w:val="24"/>
        </w:rPr>
      </w:pPr>
    </w:p>
    <w:bookmarkEnd w:id="0"/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lastRenderedPageBreak/>
        <w:t>Данный курс соткан из лоскутков различных сортов, каждый из которых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 xml:space="preserve">вырван, как из платья, из той или иной книги выше. </w:t>
      </w:r>
      <w:proofErr w:type="gramStart"/>
      <w:r w:rsidRPr="00FC6DDA">
        <w:rPr>
          <w:rFonts w:ascii="Times New Roman" w:hAnsi="Times New Roman" w:cs="Times New Roman"/>
          <w:color w:val="1A1A1A"/>
          <w:sz w:val="24"/>
          <w:szCs w:val="24"/>
        </w:rPr>
        <w:t>По хорошему</w:t>
      </w:r>
      <w:proofErr w:type="gramEnd"/>
      <w:r w:rsidRPr="00FC6DDA">
        <w:rPr>
          <w:rFonts w:ascii="Times New Roman" w:hAnsi="Times New Roman" w:cs="Times New Roman"/>
          <w:color w:val="1A1A1A"/>
          <w:sz w:val="24"/>
          <w:szCs w:val="24"/>
        </w:rPr>
        <w:t>, все эти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книги должны быть прочитаны, чтобы стать асом во всех обсуждаемых на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лекциях вопросах. Маломерные группы вращений изложены в двух книгах</w:t>
      </w:r>
    </w:p>
    <w:p w:rsidR="00FC6DDA" w:rsidRPr="00FC6DDA" w:rsidRDefault="00FC6DDA" w:rsidP="00FC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proofErr w:type="spellStart"/>
      <w:r w:rsidRPr="00FC6DDA">
        <w:rPr>
          <w:rFonts w:ascii="Times New Roman" w:hAnsi="Times New Roman" w:cs="Times New Roman"/>
          <w:color w:val="1A1A1A"/>
          <w:sz w:val="24"/>
          <w:szCs w:val="24"/>
        </w:rPr>
        <w:t>Кострикина</w:t>
      </w:r>
      <w:proofErr w:type="spellEnd"/>
      <w:r w:rsidRPr="00FC6DDA">
        <w:rPr>
          <w:rFonts w:ascii="Times New Roman" w:hAnsi="Times New Roman" w:cs="Times New Roman"/>
          <w:color w:val="1A1A1A"/>
          <w:sz w:val="24"/>
          <w:szCs w:val="24"/>
        </w:rPr>
        <w:t>, в соответствующих разделах. Впрочем, я всячески рекомендую</w:t>
      </w:r>
    </w:p>
    <w:p w:rsidR="00BF33FC" w:rsidRPr="00FC6DDA" w:rsidRDefault="00FC6DDA" w:rsidP="00FC6DDA">
      <w:pPr>
        <w:rPr>
          <w:rFonts w:ascii="Times New Roman" w:hAnsi="Times New Roman" w:cs="Times New Roman"/>
          <w:sz w:val="24"/>
          <w:szCs w:val="24"/>
        </w:rPr>
      </w:pPr>
      <w:r w:rsidRPr="00FC6DDA">
        <w:rPr>
          <w:rFonts w:ascii="Times New Roman" w:hAnsi="Times New Roman" w:cs="Times New Roman"/>
          <w:color w:val="1A1A1A"/>
          <w:sz w:val="24"/>
          <w:szCs w:val="24"/>
        </w:rPr>
        <w:t>и эти две последние книги к подробному и обстоятельному изучению.</w:t>
      </w:r>
    </w:p>
    <w:sectPr w:rsidR="00BF33FC" w:rsidRPr="00FC6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DA"/>
    <w:rsid w:val="00BF33FC"/>
    <w:rsid w:val="00FC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4BA7"/>
  <w15:chartTrackingRefBased/>
  <w15:docId w15:val="{DBBEB869-07E6-4699-B668-5A8B2781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1693</Words>
  <Characters>9652</Characters>
  <Application>Microsoft Office Word</Application>
  <DocSecurity>0</DocSecurity>
  <Lines>80</Lines>
  <Paragraphs>22</Paragraphs>
  <ScaleCrop>false</ScaleCrop>
  <Company/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AlexanderYS</dc:creator>
  <cp:keywords/>
  <dc:description/>
  <cp:lastModifiedBy>AlexanderYS</cp:lastModifiedBy>
  <cp:revision>1</cp:revision>
  <dcterms:created xsi:type="dcterms:W3CDTF">2016-04-20T16:53:00Z</dcterms:created>
  <dcterms:modified xsi:type="dcterms:W3CDTF">2016-04-20T16:56:00Z</dcterms:modified>
</cp:coreProperties>
</file>